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452DD027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18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вiд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19.12.2022 №: СО - UKR- KYIV-2022-126 між ТОВ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Солюшнс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» та «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Сейв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зе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Чілдрен</w:t>
      </w:r>
      <w:proofErr w:type="spellEnd"/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Кількість </w:t>
            </w:r>
            <w:proofErr w:type="spellStart"/>
            <w:r w:rsidRPr="00120296">
              <w:rPr>
                <w:rFonts w:ascii="Times New Roman" w:hAnsi="Times New Roman" w:cs="Times New Roman"/>
                <w:b/>
                <w:lang w:eastAsia="uk-UA"/>
              </w:rPr>
              <w:t>бенефіціарів</w:t>
            </w:r>
            <w:proofErr w:type="spellEnd"/>
            <w:r w:rsidRPr="00120296">
              <w:rPr>
                <w:rFonts w:ascii="Times New Roman" w:hAnsi="Times New Roman" w:cs="Times New Roman"/>
                <w:b/>
                <w:lang w:eastAsia="uk-UA"/>
              </w:rPr>
              <w:t xml:space="preserve">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</w:t>
            </w: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ліфлет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624E9C62" w14:textId="77777777" w:rsidR="00384F30" w:rsidRDefault="00384F30" w:rsidP="00384F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Чернігівська обл., м. Ніжин, Ніжинська початкова школа № 10, 2-й поверх,  кабінет № 22</w:t>
            </w:r>
          </w:p>
          <w:p w14:paraId="4912BACA" w14:textId="7CD23955" w:rsidR="00FB5250" w:rsidRPr="00B056C4" w:rsidRDefault="00384F30" w:rsidP="00384F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1-А класу</w:t>
            </w:r>
          </w:p>
        </w:tc>
        <w:tc>
          <w:tcPr>
            <w:tcW w:w="993" w:type="dxa"/>
          </w:tcPr>
          <w:p w14:paraId="6E94B078" w14:textId="1F07C0D8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678E"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</w:t>
            </w:r>
            <w:r w:rsidR="0016678E">
              <w:rPr>
                <w:rFonts w:ascii="Times New Roman" w:hAnsi="Times New Roman"/>
              </w:rPr>
              <w:t>30</w:t>
            </w:r>
            <w:r w:rsidR="006E2FDC">
              <w:rPr>
                <w:rFonts w:ascii="Times New Roman" w:hAnsi="Times New Roman"/>
              </w:rPr>
              <w:t xml:space="preserve"> – 1</w:t>
            </w:r>
            <w:r w:rsidR="0016678E">
              <w:rPr>
                <w:rFonts w:ascii="Times New Roman" w:hAnsi="Times New Roman"/>
              </w:rPr>
              <w:t>2</w:t>
            </w:r>
            <w:r w:rsidR="006E2FDC">
              <w:rPr>
                <w:rFonts w:ascii="Times New Roman" w:hAnsi="Times New Roman"/>
              </w:rPr>
              <w:t>-1</w:t>
            </w:r>
            <w:r w:rsidR="0016678E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5942EAAC" w14:textId="05A90C04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6678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7731A4B8" w14:textId="19E99AE6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6678E"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41E321CF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  <w:r w:rsidR="0016678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52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103A2DA0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6678E"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3F80ACCE" w:rsidR="00FB5250" w:rsidRPr="00B056C4" w:rsidRDefault="0016678E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3420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proofErr w:type="spellStart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Постер</w:t>
            </w:r>
            <w:proofErr w:type="spellEnd"/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085428E4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57727AB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04745835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6678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5447282F" w14:textId="61A958F4" w:rsidR="00FB5250" w:rsidRPr="00B056C4" w:rsidRDefault="0016678E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661445CE" w:rsidR="00FB5250" w:rsidRPr="00B056C4" w:rsidRDefault="006E2FDC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</w:t>
            </w:r>
            <w:r w:rsidR="0016678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662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63F84F2E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>3</w:t>
      </w:r>
      <w:r w:rsidR="0016678E">
        <w:rPr>
          <w:rFonts w:ascii="Times New Roman" w:eastAsia="Arial" w:hAnsi="Times New Roman"/>
          <w:color w:val="000000"/>
          <w:sz w:val="24"/>
          <w:szCs w:val="24"/>
        </w:rPr>
        <w:t>662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Три тисячі</w:t>
      </w:r>
      <w:r w:rsidR="0016678E">
        <w:rPr>
          <w:rFonts w:ascii="Times New Roman" w:hAnsi="Times New Roman" w:cs="Times New Roman"/>
          <w:sz w:val="24"/>
          <w:szCs w:val="24"/>
          <w:lang w:eastAsia="uk-UA"/>
        </w:rPr>
        <w:t xml:space="preserve"> шістсот шістдесят дві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Керівник (Заступник керівника) </w:t>
                              </w:r>
                              <w:proofErr w:type="spellStart"/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проєкту</w:t>
                              </w:r>
                              <w:proofErr w:type="spellEnd"/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6</cp:revision>
  <cp:lastPrinted>2022-12-08T15:25:00Z</cp:lastPrinted>
  <dcterms:created xsi:type="dcterms:W3CDTF">2023-01-18T19:33:00Z</dcterms:created>
  <dcterms:modified xsi:type="dcterms:W3CDTF">2023-01-20T12:30:00Z</dcterms:modified>
</cp:coreProperties>
</file>